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jc w:val="center"/>
        <w:rPr>
          <w:rFonts w:asciiTheme="minorHAnsi" w:hAnsiTheme="minorHAnsi" w:cstheme="minorHAnsi"/>
          <w:b/>
          <w:bCs/>
          <w:sz w:val="28"/>
          <w:szCs w:val="28"/>
          <w:u w:val="double"/>
        </w:rPr>
      </w:pPr>
      <w:r>
        <w:rPr>
          <w:rFonts w:asciiTheme="minorHAnsi" w:hAnsiTheme="minorHAnsi" w:cstheme="minorHAnsi"/>
          <w:b/>
          <w:bCs/>
          <w:sz w:val="28"/>
          <w:szCs w:val="28"/>
          <w:u w:val="double"/>
        </w:rPr>
        <w:t>Price Bid Format of Enquiry No. E-1903030 R</w:t>
      </w:r>
    </w:p>
    <w:p>
      <w:pPr>
        <w:jc w:val="both"/>
        <w:rPr>
          <w:rFonts w:asciiTheme="minorHAnsi" w:hAnsiTheme="minorHAnsi" w:cstheme="minorHAnsi"/>
          <w:b/>
          <w:bCs/>
        </w:rPr>
      </w:pPr>
    </w:p>
    <w:p>
      <w:pPr>
        <w:pStyle w:val="Default"/>
      </w:pPr>
      <w:r>
        <w:rPr>
          <w:rFonts w:asciiTheme="minorHAnsi" w:hAnsiTheme="minorHAnsi" w:cstheme="minorHAnsi"/>
        </w:rPr>
        <w:t>Item:</w:t>
      </w:r>
      <w:r>
        <w:t xml:space="preserve"> </w:t>
      </w:r>
      <w:r>
        <w:rPr>
          <w:b/>
          <w:bCs/>
          <w:sz w:val="21"/>
          <w:szCs w:val="21"/>
        </w:rPr>
        <w:t>19.05 O/d x1.016 TK Straight Wire Wound Tube</w:t>
      </w:r>
    </w:p>
    <w:p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Item Description: As per Enquiry Sheet</w:t>
      </w:r>
    </w:p>
    <w:p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Unit of Measurement: Numbers (No.)</w:t>
      </w:r>
    </w:p>
    <w:p>
      <w:pPr>
        <w:jc w:val="both"/>
        <w:rPr>
          <w:rFonts w:asciiTheme="minorHAnsi" w:hAnsiTheme="minorHAnsi" w:cstheme="minorHAnsi"/>
          <w:b/>
          <w:bCs/>
          <w:sz w:val="28"/>
          <w:szCs w:val="28"/>
          <w:u w:val="single"/>
        </w:rPr>
      </w:pPr>
      <w:r>
        <w:rPr>
          <w:rFonts w:asciiTheme="minorHAnsi" w:hAnsiTheme="minorHAnsi" w:cstheme="minorHAnsi"/>
          <w:b/>
          <w:bCs/>
          <w:sz w:val="28"/>
          <w:szCs w:val="28"/>
          <w:u w:val="single"/>
        </w:rPr>
        <w:t>Quantity: 7860 Nos.</w:t>
      </w:r>
    </w:p>
    <w:p>
      <w:pPr>
        <w:jc w:val="both"/>
        <w:rPr>
          <w:rFonts w:asciiTheme="minorHAnsi" w:hAnsiTheme="minorHAnsi" w:cstheme="minorHAnsi"/>
          <w:b/>
          <w:bCs/>
          <w:vertAlign w:val="subscript"/>
        </w:rPr>
      </w:pPr>
    </w:p>
    <w:tbl>
      <w:tblPr>
        <w:tblW w:w="9300" w:type="dxa"/>
        <w:tblInd w:w="-10" w:type="dxa"/>
        <w:tblLook w:val="04A0" w:firstRow="1" w:lastRow="0" w:firstColumn="1" w:lastColumn="0" w:noHBand="0" w:noVBand="1"/>
      </w:tblPr>
      <w:tblGrid>
        <w:gridCol w:w="960"/>
        <w:gridCol w:w="6420"/>
        <w:gridCol w:w="996"/>
        <w:gridCol w:w="1053"/>
      </w:tblGrid>
      <w:tr>
        <w:trPr>
          <w:trHeight w:val="31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Sl. No.</w:t>
            </w:r>
          </w:p>
        </w:tc>
        <w:tc>
          <w:tcPr>
            <w:tcW w:w="64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Item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 xml:space="preserve"> Copper 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 xml:space="preserve"> Nickel </w:t>
            </w:r>
          </w:p>
        </w:tc>
      </w:tr>
      <w:tr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6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Base Rate per MT in USD (LME)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6611.5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14687</w:t>
            </w:r>
          </w:p>
        </w:tc>
      </w:tr>
      <w:tr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6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Metal weight in each Tube ( Kg) (Total weight of each tube = 2.924)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2.8314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0.0929</w:t>
            </w:r>
          </w:p>
        </w:tc>
      </w:tr>
      <w:tr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6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Metal Price per tube as per base rate taken in this table- USD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18.7198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1.364422</w:t>
            </w:r>
          </w:p>
        </w:tc>
      </w:tr>
      <w:tr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6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Metal Price per tube as per Tube in INR ( 1 USD= 73.8 INR 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1,381.52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100.6944</w:t>
            </w:r>
          </w:p>
        </w:tc>
      </w:tr>
      <w:tr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6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Total Metal Price per Tube in INR</w:t>
            </w:r>
          </w:p>
        </w:tc>
        <w:tc>
          <w:tcPr>
            <w:tcW w:w="19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1,482.22</w:t>
            </w:r>
          </w:p>
        </w:tc>
      </w:tr>
      <w:tr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6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rPr>
                <w:rFonts w:ascii="Calibri" w:hAnsi="Calibri" w:cs="Calibr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8"/>
                <w:szCs w:val="28"/>
              </w:rPr>
              <w:t>Total Metal Price per Tube in INR (Round off)</w:t>
            </w:r>
          </w:p>
        </w:tc>
        <w:tc>
          <w:tcPr>
            <w:tcW w:w="19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8"/>
                <w:szCs w:val="28"/>
              </w:rPr>
              <w:t>1,482.00</w:t>
            </w:r>
          </w:p>
        </w:tc>
      </w:tr>
    </w:tbl>
    <w:p>
      <w:pPr>
        <w:jc w:val="both"/>
        <w:rPr>
          <w:rFonts w:asciiTheme="minorHAnsi" w:hAnsiTheme="minorHAnsi" w:cstheme="minorHAnsi"/>
          <w:b/>
          <w:bCs/>
          <w:i/>
          <w:iCs/>
          <w:sz w:val="4"/>
          <w:szCs w:val="4"/>
        </w:rPr>
      </w:pPr>
      <w:r>
        <w:rPr>
          <w:rFonts w:asciiTheme="minorHAnsi" w:hAnsiTheme="minorHAnsi" w:cstheme="minorHAnsi"/>
          <w:b/>
          <w:bCs/>
          <w:i/>
          <w:iCs/>
        </w:rPr>
        <w:t xml:space="preserve">       </w:t>
      </w:r>
    </w:p>
    <w:p>
      <w:pPr>
        <w:jc w:val="both"/>
        <w:rPr>
          <w:rFonts w:asciiTheme="minorHAnsi" w:hAnsiTheme="minorHAnsi" w:cstheme="minorHAnsi"/>
          <w:b/>
          <w:bCs/>
          <w:i/>
          <w:iCs/>
          <w:vertAlign w:val="subscript"/>
        </w:rPr>
      </w:pPr>
      <w:r>
        <w:rPr>
          <w:rFonts w:asciiTheme="minorHAnsi" w:hAnsiTheme="minorHAnsi" w:cstheme="minorHAnsi"/>
          <w:b/>
          <w:bCs/>
          <w:i/>
          <w:iCs/>
        </w:rPr>
        <w:t>Agency: LME Official Cash Seller &amp; Settlement Price</w:t>
      </w:r>
    </w:p>
    <w:p>
      <w:pPr>
        <w:pStyle w:val="ListParagraph"/>
        <w:numPr>
          <w:ilvl w:val="0"/>
          <w:numId w:val="3"/>
        </w:numPr>
        <w:jc w:val="both"/>
        <w:rPr>
          <w:rFonts w:asciiTheme="minorHAnsi" w:hAnsiTheme="minorHAnsi" w:cstheme="minorHAnsi"/>
          <w:i/>
          <w:iCs/>
          <w:szCs w:val="24"/>
        </w:rPr>
      </w:pPr>
      <w:r>
        <w:rPr>
          <w:rFonts w:asciiTheme="minorHAnsi" w:hAnsiTheme="minorHAnsi" w:cstheme="minorHAnsi"/>
          <w:i/>
          <w:iCs/>
          <w:szCs w:val="24"/>
        </w:rPr>
        <w:t xml:space="preserve">These rates will be used as base rates for calculation of Price payable to vendor during execution of order (if bid currency is INR) as per PVC Annexure. </w:t>
      </w:r>
    </w:p>
    <w:p>
      <w:pPr>
        <w:jc w:val="both"/>
        <w:rPr>
          <w:rFonts w:asciiTheme="minorHAnsi" w:hAnsiTheme="minorHAnsi" w:cstheme="minorHAnsi"/>
          <w:b/>
          <w:bCs/>
          <w:sz w:val="8"/>
          <w:szCs w:val="8"/>
          <w:u w:val="double"/>
        </w:rPr>
      </w:pPr>
    </w:p>
    <w:p>
      <w:pPr>
        <w:jc w:val="both"/>
        <w:rPr>
          <w:rFonts w:asciiTheme="minorHAnsi" w:hAnsiTheme="minorHAnsi" w:cstheme="minorHAnsi"/>
          <w:i/>
          <w:iCs/>
          <w:u w:val="single"/>
        </w:rPr>
      </w:pPr>
      <w:r>
        <w:rPr>
          <w:rFonts w:asciiTheme="minorHAnsi" w:hAnsiTheme="minorHAnsi" w:cstheme="minorHAnsi"/>
          <w:color w:val="000000"/>
          <w:lang w:val="en-IN" w:eastAsia="en-IN"/>
        </w:rPr>
        <w:t xml:space="preserve">HSN Code: </w:t>
      </w:r>
      <w:r>
        <w:rPr>
          <w:rFonts w:asciiTheme="minorHAnsi" w:hAnsiTheme="minorHAnsi" w:cstheme="minorHAnsi"/>
          <w:i/>
          <w:iCs/>
          <w:color w:val="000000"/>
          <w:highlight w:val="yellow"/>
          <w:lang w:val="en-IN" w:eastAsia="en-IN"/>
        </w:rPr>
        <w:t>vendor to specify</w:t>
      </w:r>
    </w:p>
    <w:p>
      <w:pPr>
        <w:pStyle w:val="ListParagraph"/>
        <w:jc w:val="both"/>
        <w:rPr>
          <w:rFonts w:asciiTheme="minorHAnsi" w:hAnsiTheme="minorHAnsi" w:cstheme="minorHAnsi"/>
          <w:b/>
          <w:bCs/>
          <w:sz w:val="10"/>
          <w:szCs w:val="10"/>
          <w:u w:val="double"/>
        </w:rPr>
      </w:pPr>
    </w:p>
    <w:tbl>
      <w:tblPr>
        <w:tblStyle w:val="TableGrid"/>
        <w:tblW w:w="9776" w:type="dxa"/>
        <w:tblLook w:val="04A0" w:firstRow="1" w:lastRow="0" w:firstColumn="1" w:lastColumn="0" w:noHBand="0" w:noVBand="1"/>
      </w:tblPr>
      <w:tblGrid>
        <w:gridCol w:w="804"/>
        <w:gridCol w:w="3869"/>
        <w:gridCol w:w="1701"/>
        <w:gridCol w:w="3402"/>
      </w:tblGrid>
      <w:tr>
        <w:trPr>
          <w:trHeight w:val="315"/>
        </w:trPr>
        <w:tc>
          <w:tcPr>
            <w:tcW w:w="804" w:type="dxa"/>
          </w:tcPr>
          <w:p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lang w:val="en-IN" w:eastAsia="en-IN"/>
              </w:rPr>
            </w:pPr>
            <w:proofErr w:type="spellStart"/>
            <w:r>
              <w:rPr>
                <w:rFonts w:asciiTheme="minorHAnsi" w:hAnsiTheme="minorHAnsi" w:cstheme="minorHAnsi"/>
                <w:b/>
                <w:bCs/>
                <w:color w:val="000000"/>
                <w:lang w:val="en-IN" w:eastAsia="en-IN"/>
              </w:rPr>
              <w:t>Sl.No</w:t>
            </w:r>
            <w:proofErr w:type="spellEnd"/>
            <w:r>
              <w:rPr>
                <w:rFonts w:asciiTheme="minorHAnsi" w:hAnsiTheme="minorHAnsi" w:cstheme="minorHAnsi"/>
                <w:b/>
                <w:bCs/>
                <w:color w:val="000000"/>
                <w:lang w:val="en-IN" w:eastAsia="en-IN"/>
              </w:rPr>
              <w:t>.</w:t>
            </w:r>
          </w:p>
        </w:tc>
        <w:tc>
          <w:tcPr>
            <w:tcW w:w="3869" w:type="dxa"/>
            <w:hideMark/>
          </w:tcPr>
          <w:p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lang w:val="en-IN" w:eastAsia="en-IN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lang w:val="en-IN" w:eastAsia="en-IN"/>
              </w:rPr>
              <w:t>Price Description</w:t>
            </w:r>
          </w:p>
        </w:tc>
        <w:tc>
          <w:tcPr>
            <w:tcW w:w="1701" w:type="dxa"/>
            <w:hideMark/>
          </w:tcPr>
          <w:p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lang w:val="en-IN" w:eastAsia="en-IN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lang w:val="en-IN" w:eastAsia="en-IN"/>
              </w:rPr>
              <w:t>INR</w:t>
            </w:r>
          </w:p>
        </w:tc>
        <w:tc>
          <w:tcPr>
            <w:tcW w:w="3402" w:type="dxa"/>
          </w:tcPr>
          <w:p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lang w:val="en-IN" w:eastAsia="en-IN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lang w:val="en-IN" w:eastAsia="en-IN"/>
              </w:rPr>
              <w:t>Remark</w:t>
            </w:r>
          </w:p>
        </w:tc>
      </w:tr>
      <w:tr>
        <w:trPr>
          <w:trHeight w:val="900"/>
        </w:trPr>
        <w:tc>
          <w:tcPr>
            <w:tcW w:w="804" w:type="dxa"/>
          </w:tcPr>
          <w:p>
            <w:pPr>
              <w:jc w:val="center"/>
              <w:rPr>
                <w:rFonts w:asciiTheme="minorHAnsi" w:hAnsiTheme="minorHAnsi" w:cstheme="minorHAnsi"/>
                <w:color w:val="000000"/>
                <w:lang w:val="en-IN" w:eastAsia="en-IN"/>
              </w:rPr>
            </w:pPr>
            <w:r>
              <w:rPr>
                <w:rFonts w:asciiTheme="minorHAnsi" w:hAnsiTheme="minorHAnsi" w:cstheme="minorHAnsi"/>
                <w:color w:val="000000"/>
                <w:lang w:val="en-IN" w:eastAsia="en-IN"/>
              </w:rPr>
              <w:t>1</w:t>
            </w:r>
          </w:p>
        </w:tc>
        <w:tc>
          <w:tcPr>
            <w:tcW w:w="3869" w:type="dxa"/>
            <w:hideMark/>
          </w:tcPr>
          <w:p>
            <w:pPr>
              <w:rPr>
                <w:rFonts w:asciiTheme="minorHAnsi" w:hAnsiTheme="minorHAnsi" w:cstheme="minorHAnsi"/>
                <w:color w:val="000000"/>
                <w:lang w:val="en-IN" w:eastAsia="en-IN"/>
              </w:rPr>
            </w:pPr>
            <w:r>
              <w:rPr>
                <w:rFonts w:asciiTheme="minorHAnsi" w:hAnsiTheme="minorHAnsi" w:cstheme="minorHAnsi"/>
                <w:color w:val="000000"/>
                <w:lang w:val="en-IN" w:eastAsia="en-IN"/>
              </w:rPr>
              <w:t xml:space="preserve">Metal price </w:t>
            </w:r>
            <w:r>
              <w:rPr>
                <w:rFonts w:asciiTheme="minorHAnsi" w:hAnsiTheme="minorHAnsi" w:cstheme="minorHAnsi"/>
                <w:b/>
                <w:bCs/>
                <w:color w:val="000000"/>
                <w:lang w:val="en-IN" w:eastAsia="en-IN"/>
              </w:rPr>
              <w:t>per Tube</w:t>
            </w:r>
          </w:p>
        </w:tc>
        <w:tc>
          <w:tcPr>
            <w:tcW w:w="1701" w:type="dxa"/>
            <w:hideMark/>
          </w:tcPr>
          <w:p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lang w:val="en-IN" w:eastAsia="en-IN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  <w:t>1482</w:t>
            </w:r>
          </w:p>
        </w:tc>
        <w:tc>
          <w:tcPr>
            <w:tcW w:w="3402" w:type="dxa"/>
          </w:tcPr>
          <w:p>
            <w:pPr>
              <w:rPr>
                <w:rFonts w:asciiTheme="minorHAnsi" w:hAnsiTheme="minorHAnsi" w:cstheme="minorHAnsi"/>
                <w:color w:val="000000"/>
                <w:lang w:val="en-IN" w:eastAsia="en-IN"/>
              </w:rPr>
            </w:pPr>
            <w:r>
              <w:rPr>
                <w:rFonts w:asciiTheme="minorHAnsi" w:hAnsiTheme="minorHAnsi" w:cstheme="minorHAnsi"/>
                <w:color w:val="000000"/>
                <w:lang w:val="en-IN" w:eastAsia="en-IN"/>
              </w:rPr>
              <w:t>This portion will be governed by PVC Clause as elaborated in the PVC Annexure to the Enquiry</w:t>
            </w:r>
          </w:p>
        </w:tc>
      </w:tr>
      <w:tr>
        <w:trPr>
          <w:trHeight w:val="630"/>
        </w:trPr>
        <w:tc>
          <w:tcPr>
            <w:tcW w:w="804" w:type="dxa"/>
          </w:tcPr>
          <w:p>
            <w:pPr>
              <w:jc w:val="center"/>
              <w:rPr>
                <w:rFonts w:asciiTheme="minorHAnsi" w:hAnsiTheme="minorHAnsi" w:cstheme="minorHAnsi"/>
                <w:color w:val="000000"/>
                <w:lang w:val="en-IN" w:eastAsia="en-IN"/>
              </w:rPr>
            </w:pPr>
            <w:r>
              <w:rPr>
                <w:rFonts w:asciiTheme="minorHAnsi" w:hAnsiTheme="minorHAnsi" w:cstheme="minorHAnsi"/>
                <w:color w:val="000000"/>
                <w:lang w:val="en-IN" w:eastAsia="en-IN"/>
              </w:rPr>
              <w:t>2</w:t>
            </w:r>
          </w:p>
        </w:tc>
        <w:tc>
          <w:tcPr>
            <w:tcW w:w="3869" w:type="dxa"/>
            <w:hideMark/>
          </w:tcPr>
          <w:p>
            <w:pPr>
              <w:rPr>
                <w:rFonts w:asciiTheme="minorHAnsi" w:hAnsiTheme="minorHAnsi" w:cstheme="minorHAnsi"/>
                <w:color w:val="000000"/>
                <w:lang w:val="en-IN" w:eastAsia="en-IN"/>
              </w:rPr>
            </w:pPr>
            <w:r>
              <w:rPr>
                <w:rFonts w:asciiTheme="minorHAnsi" w:hAnsiTheme="minorHAnsi" w:cstheme="minorHAnsi"/>
                <w:color w:val="000000"/>
                <w:lang w:val="en-IN" w:eastAsia="en-IN"/>
              </w:rPr>
              <w:t>Manufacturing &amp; Supply Price per tube (</w:t>
            </w:r>
            <w:r>
              <w:rPr>
                <w:rFonts w:asciiTheme="minorHAnsi" w:hAnsiTheme="minorHAnsi" w:cstheme="minorHAnsi"/>
                <w:b/>
                <w:bCs/>
                <w:color w:val="000000"/>
                <w:sz w:val="26"/>
                <w:szCs w:val="26"/>
                <w:lang w:val="en-IN" w:eastAsia="en-IN"/>
              </w:rPr>
              <w:t>excluding Material Price at Sl.No.1</w:t>
            </w:r>
            <w:r>
              <w:rPr>
                <w:rFonts w:asciiTheme="minorHAnsi" w:hAnsiTheme="minorHAnsi" w:cstheme="minorHAnsi"/>
                <w:color w:val="000000"/>
                <w:lang w:val="en-IN" w:eastAsia="en-IN"/>
              </w:rPr>
              <w:t>)</w:t>
            </w:r>
          </w:p>
          <w:p>
            <w:pPr>
              <w:rPr>
                <w:rFonts w:asciiTheme="minorHAnsi" w:hAnsiTheme="minorHAnsi" w:cstheme="minorHAnsi"/>
                <w:color w:val="000000"/>
                <w:lang w:val="en-IN" w:eastAsia="en-IN"/>
              </w:rPr>
            </w:pPr>
            <w:r>
              <w:rPr>
                <w:rFonts w:asciiTheme="minorHAnsi" w:hAnsiTheme="minorHAnsi" w:cstheme="minorHAnsi"/>
                <w:color w:val="000000"/>
                <w:lang w:val="en-IN" w:eastAsia="en-IN"/>
              </w:rPr>
              <w:t>(This includes Packing &amp; Forwarding Charges, Freight including transit insurance up to FOR BHEL Bhopal.)</w:t>
            </w:r>
          </w:p>
          <w:p>
            <w:pPr>
              <w:rPr>
                <w:rFonts w:asciiTheme="minorHAnsi" w:hAnsiTheme="minorHAnsi" w:cstheme="minorHAnsi"/>
                <w:b/>
                <w:bCs/>
                <w:color w:val="000000"/>
                <w:lang w:val="en-IN" w:eastAsia="en-IN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lang w:val="en-IN" w:eastAsia="en-IN"/>
              </w:rPr>
              <w:t>GST will be Extra at actuals.</w:t>
            </w:r>
          </w:p>
        </w:tc>
        <w:tc>
          <w:tcPr>
            <w:tcW w:w="1701" w:type="dxa"/>
            <w:shd w:val="clear" w:color="auto" w:fill="FFFF00"/>
            <w:hideMark/>
          </w:tcPr>
          <w:p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lang w:val="en-IN" w:eastAsia="en-IN"/>
              </w:rPr>
            </w:pPr>
            <w:r>
              <w:rPr>
                <w:rFonts w:asciiTheme="minorHAnsi" w:hAnsiTheme="minorHAnsi" w:cstheme="minorHAnsi"/>
                <w:b/>
                <w:bCs/>
                <w:i/>
                <w:iCs/>
                <w:color w:val="000000"/>
                <w:lang w:val="en-IN" w:eastAsia="en-IN"/>
              </w:rPr>
              <w:t>Vendor to fill</w:t>
            </w:r>
          </w:p>
        </w:tc>
        <w:tc>
          <w:tcPr>
            <w:tcW w:w="3402" w:type="dxa"/>
          </w:tcPr>
          <w:p>
            <w:pPr>
              <w:rPr>
                <w:rFonts w:asciiTheme="minorHAnsi" w:hAnsiTheme="minorHAnsi" w:cstheme="minorHAnsi"/>
                <w:color w:val="000000"/>
                <w:lang w:val="en-IN" w:eastAsia="en-IN"/>
              </w:rPr>
            </w:pPr>
            <w:r>
              <w:rPr>
                <w:rFonts w:asciiTheme="minorHAnsi" w:hAnsiTheme="minorHAnsi" w:cstheme="minorHAnsi"/>
                <w:color w:val="000000"/>
                <w:lang w:val="en-IN" w:eastAsia="en-IN"/>
              </w:rPr>
              <w:t xml:space="preserve">This Portion will remain FIRM until complete execution of order, </w:t>
            </w:r>
            <w:r>
              <w:rPr>
                <w:rFonts w:asciiTheme="minorHAnsi" w:hAnsiTheme="minorHAnsi" w:cstheme="minorHAnsi"/>
                <w:color w:val="000000"/>
                <w:lang w:eastAsia="en-IN"/>
              </w:rPr>
              <w:t>without any escalation/increase for any reason</w:t>
            </w:r>
            <w:r>
              <w:rPr>
                <w:rFonts w:asciiTheme="minorHAnsi" w:hAnsiTheme="minorHAnsi" w:cstheme="minorHAnsi"/>
                <w:color w:val="000000"/>
                <w:lang w:val="en-IN" w:eastAsia="en-IN"/>
              </w:rPr>
              <w:t>.</w:t>
            </w:r>
          </w:p>
        </w:tc>
      </w:tr>
      <w:tr>
        <w:trPr>
          <w:trHeight w:val="630"/>
        </w:trPr>
        <w:tc>
          <w:tcPr>
            <w:tcW w:w="804" w:type="dxa"/>
          </w:tcPr>
          <w:p>
            <w:pPr>
              <w:jc w:val="center"/>
              <w:rPr>
                <w:rFonts w:asciiTheme="minorHAnsi" w:hAnsiTheme="minorHAnsi" w:cstheme="minorHAnsi"/>
                <w:color w:val="000000"/>
                <w:lang w:val="en-IN" w:eastAsia="en-IN"/>
              </w:rPr>
            </w:pPr>
            <w:r>
              <w:rPr>
                <w:rFonts w:asciiTheme="minorHAnsi" w:hAnsiTheme="minorHAnsi" w:cstheme="minorHAnsi"/>
                <w:color w:val="000000"/>
                <w:lang w:val="en-IN" w:eastAsia="en-IN"/>
              </w:rPr>
              <w:t>3</w:t>
            </w:r>
          </w:p>
        </w:tc>
        <w:tc>
          <w:tcPr>
            <w:tcW w:w="3869" w:type="dxa"/>
          </w:tcPr>
          <w:p>
            <w:pPr>
              <w:rPr>
                <w:rFonts w:asciiTheme="minorHAnsi" w:hAnsiTheme="minorHAnsi" w:cstheme="minorHAnsi"/>
                <w:color w:val="000000"/>
                <w:lang w:val="en-IN" w:eastAsia="en-IN"/>
              </w:rPr>
            </w:pPr>
            <w:r>
              <w:rPr>
                <w:rFonts w:asciiTheme="minorHAnsi" w:hAnsiTheme="minorHAnsi" w:cstheme="minorHAnsi"/>
                <w:color w:val="000000"/>
                <w:lang w:val="en-IN" w:eastAsia="en-IN"/>
              </w:rPr>
              <w:t xml:space="preserve">Total Sale price </w:t>
            </w:r>
            <w:r>
              <w:rPr>
                <w:rFonts w:asciiTheme="minorHAnsi" w:hAnsiTheme="minorHAnsi" w:cstheme="minorHAnsi"/>
                <w:b/>
                <w:bCs/>
                <w:color w:val="000000"/>
                <w:lang w:val="en-IN" w:eastAsia="en-IN"/>
              </w:rPr>
              <w:t>per Tube</w:t>
            </w:r>
            <w:r>
              <w:rPr>
                <w:rFonts w:asciiTheme="minorHAnsi" w:hAnsiTheme="minorHAnsi" w:cstheme="minorHAnsi"/>
                <w:color w:val="000000"/>
                <w:lang w:val="en-IN" w:eastAsia="en-IN"/>
              </w:rPr>
              <w:t xml:space="preserve"> (Sl. No. 1 + Sl. No.2)</w:t>
            </w:r>
          </w:p>
        </w:tc>
        <w:tc>
          <w:tcPr>
            <w:tcW w:w="1701" w:type="dxa"/>
            <w:shd w:val="clear" w:color="auto" w:fill="FFFF00"/>
          </w:tcPr>
          <w:p>
            <w:pPr>
              <w:jc w:val="center"/>
              <w:rPr>
                <w:rFonts w:asciiTheme="minorHAnsi" w:hAnsiTheme="minorHAnsi" w:cstheme="minorHAnsi"/>
                <w:b/>
                <w:bCs/>
                <w:i/>
                <w:iCs/>
                <w:color w:val="000000"/>
                <w:lang w:val="en-IN" w:eastAsia="en-IN"/>
              </w:rPr>
            </w:pPr>
            <w:r>
              <w:rPr>
                <w:rFonts w:asciiTheme="minorHAnsi" w:hAnsiTheme="minorHAnsi" w:cstheme="minorHAnsi"/>
                <w:b/>
                <w:bCs/>
                <w:i/>
                <w:iCs/>
                <w:color w:val="000000"/>
                <w:lang w:val="en-IN" w:eastAsia="en-IN"/>
              </w:rPr>
              <w:t>Vendor to fill</w:t>
            </w:r>
          </w:p>
        </w:tc>
        <w:tc>
          <w:tcPr>
            <w:tcW w:w="3402" w:type="dxa"/>
          </w:tcPr>
          <w:p>
            <w:pPr>
              <w:rPr>
                <w:rFonts w:asciiTheme="minorHAnsi" w:hAnsiTheme="minorHAnsi" w:cstheme="minorHAnsi"/>
                <w:b/>
                <w:bCs/>
                <w:color w:val="000000"/>
                <w:lang w:val="en-IN" w:eastAsia="en-IN"/>
              </w:rPr>
            </w:pPr>
          </w:p>
        </w:tc>
      </w:tr>
    </w:tbl>
    <w:p>
      <w:pPr>
        <w:jc w:val="both"/>
        <w:rPr>
          <w:rFonts w:asciiTheme="minorHAnsi" w:hAnsiTheme="minorHAnsi" w:cstheme="minorHAnsi"/>
        </w:rPr>
      </w:pPr>
      <w:bookmarkStart w:id="0" w:name="_GoBack"/>
      <w:bookmarkEnd w:id="0"/>
    </w:p>
    <w:p>
      <w:pPr>
        <w:jc w:val="both"/>
        <w:rPr>
          <w:rFonts w:asciiTheme="minorHAnsi" w:hAnsiTheme="minorHAnsi" w:cstheme="minorHAnsi"/>
          <w:b/>
          <w:bCs/>
          <w:color w:val="000000"/>
          <w:sz w:val="23"/>
          <w:szCs w:val="23"/>
          <w:lang w:eastAsia="en-IN"/>
        </w:rPr>
      </w:pPr>
      <w:r>
        <w:rPr>
          <w:rFonts w:asciiTheme="minorHAnsi" w:hAnsiTheme="minorHAnsi" w:cstheme="minorHAnsi"/>
          <w:b/>
          <w:bCs/>
          <w:color w:val="000000"/>
          <w:sz w:val="23"/>
          <w:szCs w:val="23"/>
          <w:lang w:eastAsia="en-IN"/>
        </w:rPr>
        <w:t>Notes:</w:t>
      </w:r>
    </w:p>
    <w:p>
      <w:pPr>
        <w:pStyle w:val="ListParagraph"/>
        <w:numPr>
          <w:ilvl w:val="0"/>
          <w:numId w:val="7"/>
        </w:numPr>
        <w:jc w:val="both"/>
        <w:rPr>
          <w:rFonts w:asciiTheme="minorHAnsi" w:hAnsiTheme="minorHAnsi" w:cstheme="minorHAnsi"/>
          <w:color w:val="000000"/>
          <w:sz w:val="23"/>
          <w:szCs w:val="23"/>
          <w:lang w:eastAsia="en-IN"/>
        </w:rPr>
      </w:pPr>
      <w:r>
        <w:rPr>
          <w:rFonts w:asciiTheme="minorHAnsi" w:hAnsiTheme="minorHAnsi" w:cstheme="minorHAnsi"/>
          <w:color w:val="000000"/>
          <w:sz w:val="23"/>
          <w:szCs w:val="23"/>
          <w:lang w:eastAsia="en-IN"/>
        </w:rPr>
        <w:t>Offer validity will be as per Annexure-B of the Enquiry.</w:t>
      </w:r>
    </w:p>
    <w:p>
      <w:pPr>
        <w:pStyle w:val="ListParagraph"/>
        <w:numPr>
          <w:ilvl w:val="0"/>
          <w:numId w:val="7"/>
        </w:numPr>
        <w:jc w:val="both"/>
        <w:rPr>
          <w:rFonts w:asciiTheme="minorHAnsi" w:hAnsiTheme="minorHAnsi" w:cstheme="minorHAnsi"/>
          <w:color w:val="000000"/>
          <w:sz w:val="23"/>
          <w:szCs w:val="23"/>
          <w:lang w:eastAsia="en-IN"/>
        </w:rPr>
      </w:pPr>
      <w:r>
        <w:rPr>
          <w:rFonts w:asciiTheme="minorHAnsi" w:hAnsiTheme="minorHAnsi" w:cstheme="minorHAnsi"/>
          <w:color w:val="000000"/>
          <w:sz w:val="23"/>
          <w:szCs w:val="23"/>
          <w:lang w:eastAsia="en-IN"/>
        </w:rPr>
        <w:t xml:space="preserve">Price must be submitted in this format only. </w:t>
      </w:r>
      <w:r>
        <w:rPr>
          <w:rFonts w:asciiTheme="minorHAnsi" w:hAnsiTheme="minorHAnsi" w:cstheme="minorHAnsi"/>
          <w:b/>
          <w:bCs/>
          <w:color w:val="000000"/>
          <w:sz w:val="23"/>
          <w:szCs w:val="23"/>
          <w:lang w:eastAsia="en-IN"/>
        </w:rPr>
        <w:t xml:space="preserve">Please submit an </w:t>
      </w:r>
      <w:r>
        <w:rPr>
          <w:rFonts w:asciiTheme="minorHAnsi" w:hAnsiTheme="minorHAnsi" w:cstheme="minorHAnsi"/>
          <w:b/>
          <w:bCs/>
          <w:color w:val="000000"/>
          <w:sz w:val="23"/>
          <w:szCs w:val="23"/>
          <w:u w:val="single"/>
          <w:lang w:eastAsia="en-IN"/>
        </w:rPr>
        <w:t xml:space="preserve">UNPRICED </w:t>
      </w:r>
      <w:r>
        <w:rPr>
          <w:rFonts w:asciiTheme="minorHAnsi" w:hAnsiTheme="minorHAnsi" w:cstheme="minorHAnsi"/>
          <w:b/>
          <w:bCs/>
          <w:color w:val="000000"/>
          <w:sz w:val="23"/>
          <w:szCs w:val="23"/>
          <w:lang w:eastAsia="en-IN"/>
        </w:rPr>
        <w:t>sealed &amp; signed copy of this document with Part-I (Techno-commercial) Bid</w:t>
      </w:r>
      <w:r>
        <w:rPr>
          <w:rFonts w:asciiTheme="minorHAnsi" w:hAnsiTheme="minorHAnsi" w:cstheme="minorHAnsi"/>
          <w:color w:val="000000"/>
          <w:sz w:val="23"/>
          <w:szCs w:val="23"/>
          <w:lang w:eastAsia="en-IN"/>
        </w:rPr>
        <w:t>. If on Price Bid Opening, it is found that Price Bid is not in this format; such Price Bid will be liable to be rejected.</w:t>
      </w:r>
    </w:p>
    <w:p>
      <w:pPr>
        <w:pStyle w:val="ListParagraph"/>
        <w:numPr>
          <w:ilvl w:val="0"/>
          <w:numId w:val="7"/>
        </w:numPr>
        <w:jc w:val="both"/>
        <w:rPr>
          <w:rFonts w:asciiTheme="minorHAnsi" w:hAnsiTheme="minorHAnsi" w:cstheme="minorHAnsi"/>
          <w:b/>
          <w:bCs/>
          <w:color w:val="000000"/>
          <w:sz w:val="23"/>
          <w:szCs w:val="23"/>
          <w:lang w:eastAsia="en-IN"/>
        </w:rPr>
      </w:pPr>
      <w:r>
        <w:rPr>
          <w:rFonts w:asciiTheme="minorHAnsi" w:hAnsiTheme="minorHAnsi" w:cstheme="minorHAnsi"/>
          <w:b/>
          <w:bCs/>
          <w:color w:val="000000"/>
          <w:sz w:val="23"/>
          <w:szCs w:val="23"/>
          <w:lang w:eastAsia="en-IN"/>
        </w:rPr>
        <w:t>Duly Sealed &amp; signed PVC Annexure must be submitted as part of Part-I (Techno-commercial) Bid.</w:t>
      </w:r>
    </w:p>
    <w:p>
      <w:pPr>
        <w:pStyle w:val="ListParagraph"/>
        <w:numPr>
          <w:ilvl w:val="0"/>
          <w:numId w:val="7"/>
        </w:numPr>
        <w:jc w:val="both"/>
        <w:rPr>
          <w:rFonts w:asciiTheme="minorHAnsi" w:hAnsiTheme="minorHAnsi" w:cstheme="minorHAnsi"/>
          <w:b/>
          <w:bCs/>
          <w:color w:val="000000"/>
          <w:sz w:val="23"/>
          <w:szCs w:val="23"/>
          <w:lang w:eastAsia="en-IN"/>
        </w:rPr>
      </w:pPr>
      <w:r>
        <w:rPr>
          <w:rFonts w:asciiTheme="minorHAnsi" w:hAnsiTheme="minorHAnsi" w:cstheme="minorHAnsi"/>
          <w:b/>
          <w:bCs/>
          <w:color w:val="000000"/>
          <w:sz w:val="23"/>
          <w:szCs w:val="23"/>
          <w:lang w:eastAsia="en-IN"/>
        </w:rPr>
        <w:t>Please refer BHEL General Terms &amp; Conditions of Enquiry Document (BP 200102) and Specific terms &amp; Conditions of the Enquiry.</w:t>
      </w:r>
      <w:r>
        <w:rPr>
          <w:rFonts w:asciiTheme="minorHAnsi" w:hAnsiTheme="minorHAnsi" w:cstheme="minorHAnsi"/>
          <w:b/>
          <w:bCs/>
          <w:sz w:val="23"/>
          <w:szCs w:val="23"/>
        </w:rPr>
        <w:t xml:space="preserve">         </w:t>
      </w:r>
    </w:p>
    <w:sectPr>
      <w:headerReference w:type="default" r:id="rId7"/>
      <w:footerReference w:type="default" r:id="rId8"/>
      <w:pgSz w:w="12240" w:h="15840"/>
      <w:pgMar w:top="567" w:right="900" w:bottom="567" w:left="1134" w:header="284" w:footer="11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Liberation Mono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54100664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1</w:t>
            </w:r>
            <w:r>
              <w:rPr>
                <w:b/>
                <w:bCs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1</w:t>
            </w:r>
            <w:r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  <w:p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>
    <w:pPr>
      <w:jc w:val="center"/>
      <w:rPr>
        <w:rFonts w:ascii="Cambria" w:hAnsi="Cambria"/>
        <w:b/>
        <w:sz w:val="28"/>
        <w:szCs w:val="28"/>
      </w:rPr>
    </w:pPr>
    <w:r>
      <w:rPr>
        <w:rFonts w:ascii="Cambria" w:hAnsi="Cambria"/>
        <w:b/>
        <w:sz w:val="28"/>
        <w:szCs w:val="28"/>
      </w:rPr>
      <w:t>BHARAT HEAVY ELECTRICALS LIMITED, BHOPAL</w:t>
    </w:r>
  </w:p>
  <w:p>
    <w:pPr>
      <w:jc w:val="center"/>
      <w:rPr>
        <w:rFonts w:ascii="Cambria" w:hAnsi="Cambria"/>
        <w:b/>
        <w:u w:val="double"/>
      </w:rPr>
    </w:pPr>
    <w:r>
      <w:rPr>
        <w:rFonts w:ascii="Cambria" w:hAnsi="Cambria"/>
        <w:b/>
        <w:u w:val="double"/>
      </w:rPr>
      <w:t>MATERIAL MANAGEMENT – THERMAL DIVISION</w:t>
    </w:r>
  </w:p>
  <w:p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901611"/>
    <w:multiLevelType w:val="hybridMultilevel"/>
    <w:tmpl w:val="4AC6EE4C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1F37A3"/>
    <w:multiLevelType w:val="hybridMultilevel"/>
    <w:tmpl w:val="DCD44B4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19476C"/>
    <w:multiLevelType w:val="hybridMultilevel"/>
    <w:tmpl w:val="2BC0B832"/>
    <w:lvl w:ilvl="0" w:tplc="A202D2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F730B71"/>
    <w:multiLevelType w:val="hybridMultilevel"/>
    <w:tmpl w:val="32A428E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8D40171"/>
    <w:multiLevelType w:val="hybridMultilevel"/>
    <w:tmpl w:val="99FCC8D2"/>
    <w:lvl w:ilvl="0" w:tplc="9620D95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B74794"/>
    <w:multiLevelType w:val="hybridMultilevel"/>
    <w:tmpl w:val="6A12A044"/>
    <w:lvl w:ilvl="0" w:tplc="374605D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24A4980"/>
    <w:multiLevelType w:val="hybridMultilevel"/>
    <w:tmpl w:val="4AC6EE4C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6"/>
  </w:num>
  <w:num w:numId="5">
    <w:abstractNumId w:val="0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1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9158B909-448B-4BC9-A77A-C1FA15A80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</w:pPr>
    <w:rPr>
      <w:rFonts w:ascii="Times New Roman" w:eastAsia="Times New Roman" w:hAnsi="Times New Roman" w:cs="Mangal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</w:pPr>
    <w:rPr>
      <w:szCs w:val="21"/>
    </w:rPr>
  </w:style>
  <w:style w:type="character" w:customStyle="1" w:styleId="HeaderChar">
    <w:name w:val="Header Char"/>
    <w:basedOn w:val="DefaultParagraphFont"/>
    <w:link w:val="Header"/>
    <w:uiPriority w:val="99"/>
    <w:rPr>
      <w:rFonts w:ascii="Times New Roman" w:eastAsia="Times New Roman" w:hAnsi="Times New Roman" w:cs="Mangal"/>
      <w:sz w:val="24"/>
      <w:szCs w:val="21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</w:pPr>
    <w:rPr>
      <w:szCs w:val="21"/>
    </w:rPr>
  </w:style>
  <w:style w:type="character" w:customStyle="1" w:styleId="FooterChar">
    <w:name w:val="Footer Char"/>
    <w:basedOn w:val="DefaultParagraphFont"/>
    <w:link w:val="Footer"/>
    <w:uiPriority w:val="99"/>
    <w:rPr>
      <w:rFonts w:ascii="Times New Roman" w:eastAsia="Times New Roman" w:hAnsi="Times New Roman" w:cs="Mangal"/>
      <w:sz w:val="24"/>
      <w:szCs w:val="21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Segoe UI" w:hAnsi="Segoe UI"/>
      <w:sz w:val="18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eastAsia="Times New Roman" w:hAnsi="Segoe UI" w:cs="Mangal"/>
      <w:sz w:val="18"/>
      <w:szCs w:val="16"/>
    </w:rPr>
  </w:style>
  <w:style w:type="table" w:styleId="TableGrid">
    <w:name w:val="Table Grid"/>
    <w:basedOn w:val="TableNormal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pPr>
      <w:ind w:left="720"/>
      <w:contextualSpacing/>
    </w:pPr>
    <w:rPr>
      <w:szCs w:val="21"/>
    </w:rPr>
  </w:style>
  <w:style w:type="paragraph" w:customStyle="1" w:styleId="Default">
    <w:name w:val="Default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24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3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02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298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6142400</dc:creator>
  <cp:keywords/>
  <dc:description/>
  <cp:lastModifiedBy>Sumit Gupta</cp:lastModifiedBy>
  <cp:revision>2</cp:revision>
  <cp:lastPrinted>2020-09-07T09:49:00Z</cp:lastPrinted>
  <dcterms:created xsi:type="dcterms:W3CDTF">2020-10-12T11:28:00Z</dcterms:created>
  <dcterms:modified xsi:type="dcterms:W3CDTF">2020-10-12T11:28:00Z</dcterms:modified>
</cp:coreProperties>
</file>